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B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Oromia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2026-PBCCS-C2</w:t>
    </w:r>
    <w:r>
      <w:rPr>
        <w:rStyle w:val="StyleItalic10"/>
      </w:rPr>
      <w:t xml:space="preserve"> - Category 2 Internal Connections (Attachment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D5234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963BE-706C-4C83-B084-F43EE429FA2E}"/>
</file>

<file path=customXml/itemProps2.xml><?xml version="1.0" encoding="utf-8"?>
<ds:datastoreItem xmlns:ds="http://schemas.openxmlformats.org/officeDocument/2006/customXml" ds:itemID="{DA06906B-FE8B-4F65-B1AA-B165023F1C74}"/>
</file>

<file path=customXml/itemProps3.xml><?xml version="1.0" encoding="utf-8"?>
<ds:datastoreItem xmlns:ds="http://schemas.openxmlformats.org/officeDocument/2006/customXml" ds:itemID="{A61FB5CA-6472-4CBF-89B1-8E8EED43C54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InterMountain ESD</dc:creator>
  <cp:keywords/>
  <dc:description/>
  <cp:lastModifiedBy>InterMountain E-rate</cp:lastModifiedBy>
  <dcterms:created xsi:type="dcterms:W3CDTF">2026-01-22T17:47:24Z</dcterms:created>
  <dcterms:modified xsi:type="dcterms:W3CDTF">2026-01-22T17:47:24Z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