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ITB.  By submitting a Proposal, Proposer agrees to be bound by the terms and conditions in the ITB and as modified by any Amendment(s).</w:t>
      </w:r>
    </w:p>
    <w:p>
      <w:pPr>
        <w:numPr>
          <w:ilvl w:val="0"/>
          <w:numId w:val="5"/>
        </w:numPr>
      </w:pPr>
      <w:r>
        <w:rPr/>
        <w:t xml:space="preserve">Proposer acknowledges receipt of any and all Amendment(s) to this ITB.</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ITB 2025-PARKROSE SD-C2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159635"/>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A2FB83-4B0A-4CB0-A819-590C5CC7D322}"/>
</file>

<file path=customXml/itemProps2.xml><?xml version="1.0" encoding="utf-8"?>
<ds:datastoreItem xmlns:ds="http://schemas.openxmlformats.org/officeDocument/2006/customXml" ds:itemID="{04A7A9BD-0092-46E3-900D-6A000EFCED61}"/>
</file>

<file path=customXml/itemProps3.xml><?xml version="1.0" encoding="utf-8"?>
<ds:datastoreItem xmlns:ds="http://schemas.openxmlformats.org/officeDocument/2006/customXml" ds:itemID="{82F2A792-0F42-4889-B58E-82F02A5B6D8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2024-11-22T16:43:37Z</dcterms:created>
  <dcterms:modified xsi:type="dcterms:W3CDTF">2024-11-22T16:43:37Z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